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F" w:rsidRPr="00844B04" w:rsidRDefault="00D55C4F" w:rsidP="00D55C4F">
      <w:pPr>
        <w:jc w:val="center"/>
        <w:rPr>
          <w:rFonts w:ascii="Tahoma" w:hAnsi="Tahoma" w:cs="Tahoma"/>
          <w:b/>
          <w:sz w:val="36"/>
          <w:szCs w:val="36"/>
        </w:rPr>
      </w:pPr>
      <w:r w:rsidRPr="00844B04">
        <w:rPr>
          <w:rFonts w:ascii="Tahoma" w:hAnsi="Tahoma" w:cs="Tahoma"/>
          <w:b/>
          <w:sz w:val="36"/>
          <w:szCs w:val="36"/>
        </w:rPr>
        <w:t>BẢNG BÁO GIÁ</w:t>
      </w:r>
    </w:p>
    <w:p w:rsidR="00D55C4F" w:rsidRDefault="00D55C4F" w:rsidP="00D55C4F">
      <w:pPr>
        <w:jc w:val="center"/>
        <w:rPr>
          <w:rFonts w:ascii="Tahoma" w:hAnsi="Tahoma" w:cs="Tahoma"/>
          <w:b/>
        </w:rPr>
      </w:pPr>
      <w:r w:rsidRPr="00844B04">
        <w:rPr>
          <w:rFonts w:ascii="Tahoma" w:hAnsi="Tahoma" w:cs="Tahoma"/>
          <w:b/>
        </w:rPr>
        <w:t xml:space="preserve">DỊCH VỤ </w:t>
      </w:r>
      <w:r>
        <w:rPr>
          <w:rFonts w:ascii="Tahoma" w:hAnsi="Tahoma" w:cs="Tahoma"/>
          <w:b/>
        </w:rPr>
        <w:t>IN HOÁ ĐƠN TÀI CHÍNH</w:t>
      </w:r>
    </w:p>
    <w:p w:rsidR="006B4CBF" w:rsidRPr="006B4CBF" w:rsidRDefault="00787036" w:rsidP="00D55C4F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Số: 2</w:t>
      </w:r>
      <w:r w:rsidR="00007B53">
        <w:rPr>
          <w:rFonts w:ascii="Tahoma" w:hAnsi="Tahoma" w:cs="Tahoma"/>
          <w:color w:val="0000FF"/>
        </w:rPr>
        <w:t>1</w:t>
      </w:r>
      <w:r w:rsidR="006B4CBF" w:rsidRPr="006B4CBF">
        <w:rPr>
          <w:rFonts w:ascii="Tahoma" w:hAnsi="Tahoma" w:cs="Tahoma"/>
          <w:color w:val="0000FF"/>
        </w:rPr>
        <w:t>/</w:t>
      </w:r>
      <w:r w:rsidR="008036E9">
        <w:rPr>
          <w:rFonts w:ascii="Tahoma" w:hAnsi="Tahoma" w:cs="Tahoma"/>
          <w:color w:val="0000FF"/>
        </w:rPr>
        <w:t>HDTC/</w:t>
      </w:r>
      <w:r w:rsidR="006B4CBF" w:rsidRPr="006B4CBF">
        <w:rPr>
          <w:rFonts w:ascii="Tahoma" w:hAnsi="Tahoma" w:cs="Tahoma"/>
          <w:color w:val="0000FF"/>
        </w:rPr>
        <w:t>BG</w:t>
      </w:r>
      <w:r>
        <w:rPr>
          <w:rFonts w:ascii="Tahoma" w:hAnsi="Tahoma" w:cs="Tahoma"/>
          <w:color w:val="0000FF"/>
        </w:rPr>
        <w:t>-NT</w:t>
      </w:r>
    </w:p>
    <w:p w:rsidR="00D55C4F" w:rsidRDefault="00D55C4F" w:rsidP="00D55C4F">
      <w:pPr>
        <w:rPr>
          <w:rFonts w:ascii="Tahoma" w:hAnsi="Tahoma" w:cs="Tahoma"/>
        </w:rPr>
      </w:pPr>
    </w:p>
    <w:p w:rsidR="00DE1C6E" w:rsidRDefault="00DE1C6E" w:rsidP="00AB7D4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Kính gửi:</w:t>
      </w:r>
      <w:r w:rsidR="00AB7D4F">
        <w:rPr>
          <w:rFonts w:ascii="Tahoma" w:hAnsi="Tahoma" w:cs="Tahoma"/>
        </w:rPr>
        <w:t xml:space="preserve"> Quý k</w:t>
      </w:r>
      <w:r w:rsidR="00632FFB">
        <w:rPr>
          <w:rFonts w:ascii="Tahoma" w:hAnsi="Tahoma" w:cs="Tahoma"/>
        </w:rPr>
        <w:t>hách hàng</w:t>
      </w:r>
    </w:p>
    <w:p w:rsidR="00DE1C6E" w:rsidRPr="00DE1C6E" w:rsidRDefault="00DE1C6E" w:rsidP="00DE1C6E">
      <w:pPr>
        <w:ind w:left="720" w:firstLine="720"/>
        <w:rPr>
          <w:rFonts w:ascii="Tahoma" w:hAnsi="Tahoma" w:cs="Tahoma"/>
        </w:rPr>
      </w:pPr>
    </w:p>
    <w:p w:rsidR="00D55C4F" w:rsidRDefault="00D55C4F" w:rsidP="00D55C4F">
      <w:pPr>
        <w:rPr>
          <w:rFonts w:ascii="Tahoma" w:hAnsi="Tahoma" w:cs="Tahoma"/>
        </w:rPr>
      </w:pPr>
      <w:r>
        <w:rPr>
          <w:rFonts w:ascii="Tahoma" w:hAnsi="Tahoma" w:cs="Tahoma"/>
        </w:rPr>
        <w:t>Asadona hỗ trợ doanh nghiệp in và phát hành hóa đơn</w:t>
      </w:r>
      <w:r w:rsidR="00AB7D4F">
        <w:rPr>
          <w:rFonts w:ascii="Tahoma" w:hAnsi="Tahoma" w:cs="Tahoma"/>
        </w:rPr>
        <w:t xml:space="preserve"> tài chính</w:t>
      </w:r>
      <w:r>
        <w:rPr>
          <w:rFonts w:ascii="Tahoma" w:hAnsi="Tahoma" w:cs="Tahoma"/>
        </w:rPr>
        <w:t xml:space="preserve"> theo </w:t>
      </w:r>
      <w:r w:rsidR="00B673C7">
        <w:rPr>
          <w:rFonts w:ascii="Tahoma" w:hAnsi="Tahoma" w:cs="Tahoma"/>
        </w:rPr>
        <w:t xml:space="preserve">quy định tại </w:t>
      </w:r>
      <w:r>
        <w:rPr>
          <w:rFonts w:ascii="Tahoma" w:hAnsi="Tahoma" w:cs="Tahoma"/>
        </w:rPr>
        <w:t>nghị định 51</w:t>
      </w:r>
      <w:r w:rsidR="00B673C7">
        <w:rPr>
          <w:rFonts w:ascii="Tahoma" w:hAnsi="Tahoma" w:cs="Tahoma"/>
        </w:rPr>
        <w:t xml:space="preserve"> và </w:t>
      </w:r>
      <w:r>
        <w:rPr>
          <w:rFonts w:ascii="Tahoma" w:hAnsi="Tahoma" w:cs="Tahoma"/>
        </w:rPr>
        <w:t>thông tư 64</w:t>
      </w:r>
      <w:r w:rsidR="00B673C7">
        <w:rPr>
          <w:rFonts w:ascii="Tahoma" w:hAnsi="Tahoma" w:cs="Tahoma"/>
        </w:rPr>
        <w:t xml:space="preserve"> Bộ Tài Chính</w:t>
      </w:r>
      <w:r>
        <w:rPr>
          <w:rFonts w:ascii="Tahoma" w:hAnsi="Tahoma" w:cs="Tahoma"/>
        </w:rPr>
        <w:t xml:space="preserve">. Xin gửi đến quý khách bảng giá dịch vụ. </w:t>
      </w:r>
    </w:p>
    <w:p w:rsidR="00D55C4F" w:rsidRPr="006A15A6" w:rsidRDefault="00D55C4F" w:rsidP="00D55C4F">
      <w:pPr>
        <w:rPr>
          <w:rFonts w:ascii="Tahoma" w:hAnsi="Tahoma" w:cs="Tahoma"/>
          <w:sz w:val="16"/>
          <w:szCs w:val="16"/>
        </w:rPr>
      </w:pPr>
    </w:p>
    <w:tbl>
      <w:tblPr>
        <w:tblW w:w="9642" w:type="dxa"/>
        <w:jc w:val="center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4"/>
        <w:gridCol w:w="950"/>
        <w:gridCol w:w="1219"/>
        <w:gridCol w:w="1276"/>
        <w:gridCol w:w="1223"/>
        <w:gridCol w:w="1190"/>
      </w:tblGrid>
      <w:tr w:rsidR="00007B53" w:rsidRPr="00616C37" w:rsidTr="00007B53">
        <w:trPr>
          <w:trHeight w:val="303"/>
          <w:jc w:val="center"/>
        </w:trPr>
        <w:tc>
          <w:tcPr>
            <w:tcW w:w="3784" w:type="dxa"/>
            <w:vMerge w:val="restart"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Hóa đơn giá trị gia tăng</w:t>
            </w:r>
          </w:p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Hóa đơn xuất khẩu</w:t>
            </w:r>
          </w:p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Hóa đơn bán hàng trực tiếp</w:t>
            </w:r>
          </w:p>
        </w:tc>
        <w:tc>
          <w:tcPr>
            <w:tcW w:w="950" w:type="dxa"/>
            <w:vMerge w:val="restart"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Số lượng (cuốn)</w:t>
            </w:r>
          </w:p>
        </w:tc>
        <w:tc>
          <w:tcPr>
            <w:tcW w:w="4908" w:type="dxa"/>
            <w:gridSpan w:val="4"/>
            <w:shd w:val="clear" w:color="auto" w:fill="FFFF00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Giá thành (đồng/cuốn)</w:t>
            </w:r>
          </w:p>
        </w:tc>
      </w:tr>
      <w:tr w:rsidR="00007B53" w:rsidRPr="00616C37" w:rsidTr="00007B53">
        <w:trPr>
          <w:trHeight w:val="575"/>
          <w:jc w:val="center"/>
        </w:trPr>
        <w:tc>
          <w:tcPr>
            <w:tcW w:w="3784" w:type="dxa"/>
            <w:vMerge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In 1 màu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In 2 màu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007B53" w:rsidRPr="00616C37" w:rsidRDefault="00007B53" w:rsidP="00007B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 xml:space="preserve">In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616C37">
              <w:rPr>
                <w:rFonts w:ascii="Tahoma" w:hAnsi="Tahoma" w:cs="Tahoma"/>
                <w:b/>
                <w:sz w:val="22"/>
                <w:szCs w:val="22"/>
              </w:rPr>
              <w:t xml:space="preserve"> màu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In nhiều màu</w:t>
            </w:r>
          </w:p>
        </w:tc>
      </w:tr>
      <w:tr w:rsidR="00EE2FB5" w:rsidRPr="00616C37" w:rsidTr="00AB793A">
        <w:trPr>
          <w:trHeight w:val="359"/>
          <w:jc w:val="center"/>
        </w:trPr>
        <w:tc>
          <w:tcPr>
            <w:tcW w:w="3784" w:type="dxa"/>
            <w:vMerge w:val="restart"/>
          </w:tcPr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 xml:space="preserve">Quy cách: Hóa đơn đóng cuốn, mỗi cuốn 50 bộ, mỗi bộ 3 liên, tổng cộng 150 tờ, </w:t>
            </w:r>
            <w:r>
              <w:rPr>
                <w:rFonts w:ascii="Tahoma" w:hAnsi="Tahoma" w:cs="Tahoma"/>
                <w:sz w:val="22"/>
                <w:szCs w:val="22"/>
              </w:rPr>
              <w:t>đóng răng cưa</w:t>
            </w:r>
            <w:r w:rsidRPr="00616C37">
              <w:rPr>
                <w:rFonts w:ascii="Tahoma" w:hAnsi="Tahoma" w:cs="Tahoma"/>
                <w:sz w:val="22"/>
                <w:szCs w:val="22"/>
              </w:rPr>
              <w:t>, đóng số nhảy.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Kích thước: Khổ A4 - 19 cm x 27 cm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Màu chữ: In màu theo yêu cầu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Màu giấy: trắng – hồng – xanh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Chất liệu: Gấy c</w:t>
            </w:r>
            <w:bookmarkStart w:id="0" w:name="_GoBack"/>
            <w:bookmarkEnd w:id="0"/>
            <w:r w:rsidRPr="00616C37">
              <w:rPr>
                <w:rFonts w:ascii="Tahoma" w:hAnsi="Tahoma" w:cs="Tahoma"/>
                <w:sz w:val="22"/>
                <w:szCs w:val="22"/>
              </w:rPr>
              <w:t xml:space="preserve">arbonless </w:t>
            </w:r>
            <w:r w:rsidRPr="00616C37">
              <w:rPr>
                <w:rFonts w:ascii="Tahoma" w:hAnsi="Tahoma" w:cs="Tahoma"/>
                <w:sz w:val="22"/>
                <w:szCs w:val="22"/>
              </w:rPr>
              <w:br/>
              <w:t>(Giấy in 3 liên, không dùng giấy than)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Thiết kế đúng tiêu chuẩn và chỉnh  theo yêu cầu riêng của khách hàng.</w:t>
            </w:r>
          </w:p>
        </w:tc>
        <w:tc>
          <w:tcPr>
            <w:tcW w:w="950" w:type="dxa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66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840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1,000,000</w:t>
            </w:r>
          </w:p>
        </w:tc>
      </w:tr>
      <w:tr w:rsidR="00EE2FB5" w:rsidRPr="00616C37" w:rsidTr="00AB793A">
        <w:trPr>
          <w:trHeight w:val="413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801E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590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50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A50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A50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390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430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C038A6" w:rsidRDefault="00EE2FB5" w:rsidP="00B75F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  <w:r w:rsidRPr="00C038A6"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50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C038A6" w:rsidRDefault="00EE2FB5" w:rsidP="00B75F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  <w:r w:rsidRPr="00C038A6"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68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30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95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60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</w:tr>
      <w:tr w:rsidR="00EE2FB5" w:rsidRPr="00616C37" w:rsidTr="00AB793A">
        <w:trPr>
          <w:trHeight w:val="345"/>
          <w:jc w:val="center"/>
        </w:trPr>
        <w:tc>
          <w:tcPr>
            <w:tcW w:w="3784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EE2FB5" w:rsidRPr="00616C37" w:rsidRDefault="00EE2FB5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120,000</w:t>
            </w:r>
          </w:p>
        </w:tc>
      </w:tr>
      <w:tr w:rsidR="00007B53" w:rsidRPr="00616C37" w:rsidTr="00140542">
        <w:trPr>
          <w:trHeight w:val="278"/>
          <w:jc w:val="center"/>
        </w:trPr>
        <w:tc>
          <w:tcPr>
            <w:tcW w:w="3784" w:type="dxa"/>
            <w:vMerge/>
          </w:tcPr>
          <w:p w:rsidR="00007B53" w:rsidRPr="00616C37" w:rsidRDefault="00007B53" w:rsidP="00541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58" w:type="dxa"/>
            <w:gridSpan w:val="5"/>
            <w:vAlign w:val="center"/>
          </w:tcPr>
          <w:p w:rsidR="00007B53" w:rsidRPr="00616C37" w:rsidRDefault="00140542" w:rsidP="00140542">
            <w:pPr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i/>
                <w:sz w:val="22"/>
                <w:szCs w:val="22"/>
              </w:rPr>
              <w:t xml:space="preserve">Giá trên đã bao gồm chi phí thiết kế mẫu hóa đơn và chưa bao gồm 10% thuế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GTGT (VAT)</w:t>
            </w:r>
          </w:p>
        </w:tc>
      </w:tr>
      <w:tr w:rsidR="00007B53" w:rsidRPr="00616C37" w:rsidTr="00DD0F82">
        <w:trPr>
          <w:jc w:val="center"/>
        </w:trPr>
        <w:tc>
          <w:tcPr>
            <w:tcW w:w="9642" w:type="dxa"/>
            <w:gridSpan w:val="6"/>
          </w:tcPr>
          <w:p w:rsidR="00007B53" w:rsidRPr="00E26CAC" w:rsidRDefault="00140542" w:rsidP="00E26C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6CAC">
              <w:rPr>
                <w:rFonts w:ascii="Tahoma" w:hAnsi="Tahoma" w:cs="Tahoma"/>
                <w:b/>
                <w:sz w:val="22"/>
                <w:szCs w:val="22"/>
              </w:rPr>
              <w:t>Dịch vụ duy nhất hỗ trợ: Soạn, nộp thông báo phát hành hóa đơn, Mẫu 06, Mẫu 3.14</w:t>
            </w:r>
          </w:p>
        </w:tc>
      </w:tr>
    </w:tbl>
    <w:p w:rsidR="00D55C4F" w:rsidRPr="006A23EA" w:rsidRDefault="00D55C4F" w:rsidP="00D55C4F">
      <w:pPr>
        <w:rPr>
          <w:rFonts w:ascii="Tahoma" w:hAnsi="Tahoma" w:cs="Tahoma"/>
          <w:sz w:val="16"/>
          <w:szCs w:val="16"/>
        </w:rPr>
      </w:pPr>
    </w:p>
    <w:p w:rsidR="00D55C4F" w:rsidRPr="00F93977" w:rsidRDefault="00787036" w:rsidP="00D55C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Hồ sơ đặt in</w:t>
      </w:r>
      <w:r w:rsidR="00D55C4F" w:rsidRPr="00F93977">
        <w:rPr>
          <w:rFonts w:ascii="Tahoma" w:hAnsi="Tahoma" w:cs="Tahoma"/>
          <w:b/>
        </w:rPr>
        <w:t xml:space="preserve"> khách hàng cần chuẩn bị:</w:t>
      </w:r>
    </w:p>
    <w:p w:rsidR="00D55C4F" w:rsidRPr="00F93977" w:rsidRDefault="00D55C4F" w:rsidP="00D55C4F">
      <w:pPr>
        <w:numPr>
          <w:ilvl w:val="0"/>
          <w:numId w:val="1"/>
        </w:numPr>
        <w:rPr>
          <w:rFonts w:ascii="Tahoma" w:hAnsi="Tahoma" w:cs="Tahoma"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Pr="00F93977">
        <w:rPr>
          <w:rFonts w:ascii="Tahoma" w:hAnsi="Tahoma" w:cs="Tahoma"/>
          <w:b/>
          <w:color w:val="0000FF"/>
        </w:rPr>
        <w:t xml:space="preserve">Giấy </w:t>
      </w:r>
      <w:r w:rsidR="00AF4FFB">
        <w:rPr>
          <w:rFonts w:ascii="Tahoma" w:hAnsi="Tahoma" w:cs="Tahoma"/>
          <w:b/>
          <w:color w:val="0000FF"/>
        </w:rPr>
        <w:t>đăng ký</w:t>
      </w:r>
      <w:r w:rsidRPr="00F93977">
        <w:rPr>
          <w:rFonts w:ascii="Tahoma" w:hAnsi="Tahoma" w:cs="Tahoma"/>
          <w:b/>
          <w:color w:val="0000FF"/>
        </w:rPr>
        <w:t xml:space="preserve"> kinh doanh</w:t>
      </w:r>
      <w:r w:rsidRPr="00F93977">
        <w:rPr>
          <w:rFonts w:ascii="Tahoma" w:hAnsi="Tahoma" w:cs="Tahoma"/>
          <w:color w:val="0000FF"/>
        </w:rPr>
        <w:t>.</w:t>
      </w:r>
    </w:p>
    <w:p w:rsidR="00D55C4F" w:rsidRPr="00F93977" w:rsidRDefault="00D55C4F" w:rsidP="00D55C4F">
      <w:pPr>
        <w:numPr>
          <w:ilvl w:val="0"/>
          <w:numId w:val="1"/>
        </w:numPr>
        <w:rPr>
          <w:rFonts w:ascii="Tahoma" w:hAnsi="Tahoma" w:cs="Tahoma"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Pr="00F93977">
        <w:rPr>
          <w:rFonts w:ascii="Tahoma" w:hAnsi="Tahoma" w:cs="Tahoma"/>
          <w:b/>
          <w:color w:val="0000FF"/>
        </w:rPr>
        <w:t xml:space="preserve">Chứng minh nhân dân của </w:t>
      </w:r>
      <w:r w:rsidR="00AF4FFB">
        <w:rPr>
          <w:rFonts w:ascii="Tahoma" w:hAnsi="Tahoma" w:cs="Tahoma"/>
          <w:b/>
          <w:color w:val="0000FF"/>
        </w:rPr>
        <w:t>người đại diện theo pháp luật</w:t>
      </w:r>
      <w:r w:rsidRPr="00F93977">
        <w:rPr>
          <w:rFonts w:ascii="Tahoma" w:hAnsi="Tahoma" w:cs="Tahoma"/>
          <w:color w:val="0000FF"/>
        </w:rPr>
        <w:t>.</w:t>
      </w:r>
    </w:p>
    <w:p w:rsidR="00D55C4F" w:rsidRPr="00F93977" w:rsidRDefault="00D55C4F" w:rsidP="00D55C4F">
      <w:pPr>
        <w:numPr>
          <w:ilvl w:val="0"/>
          <w:numId w:val="1"/>
        </w:numPr>
        <w:rPr>
          <w:rFonts w:ascii="Tahoma" w:hAnsi="Tahoma" w:cs="Tahoma"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Pr="00F93977">
        <w:rPr>
          <w:rFonts w:ascii="Tahoma" w:hAnsi="Tahoma" w:cs="Tahoma"/>
          <w:b/>
          <w:color w:val="0000FF"/>
        </w:rPr>
        <w:t>Giấy chứng nhận sử dụng mẫu dấu.</w:t>
      </w:r>
    </w:p>
    <w:p w:rsidR="00D55C4F" w:rsidRPr="00F93977" w:rsidRDefault="00D55C4F" w:rsidP="00D55C4F">
      <w:pPr>
        <w:ind w:firstLine="360"/>
        <w:rPr>
          <w:rFonts w:ascii="Tahoma" w:hAnsi="Tahoma" w:cs="Tahoma"/>
          <w:i/>
        </w:rPr>
      </w:pPr>
      <w:r w:rsidRPr="00F93977">
        <w:rPr>
          <w:rFonts w:ascii="Tahoma" w:hAnsi="Tahoma" w:cs="Tahoma"/>
          <w:i/>
        </w:rPr>
        <w:t>(Các chứng từ không cần công chứng, chỉ đóng dấu công ty.)</w:t>
      </w:r>
    </w:p>
    <w:p w:rsidR="00D55C4F" w:rsidRPr="00F93977" w:rsidRDefault="00D55C4F" w:rsidP="00D55C4F">
      <w:pPr>
        <w:ind w:firstLine="360"/>
        <w:rPr>
          <w:rFonts w:ascii="Tahoma" w:hAnsi="Tahoma" w:cs="Tahoma"/>
          <w:i/>
        </w:rPr>
      </w:pPr>
    </w:p>
    <w:p w:rsidR="00777863" w:rsidRPr="00D82A72" w:rsidRDefault="00777863" w:rsidP="0077786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Quy trình đặt hàng</w:t>
      </w:r>
      <w:r w:rsidRPr="00F93977">
        <w:rPr>
          <w:rFonts w:ascii="Tahoma" w:hAnsi="Tahoma" w:cs="Tahoma"/>
          <w:b/>
        </w:rPr>
        <w:t>:</w:t>
      </w:r>
    </w:p>
    <w:p w:rsidR="00777863" w:rsidRPr="00616C37" w:rsidRDefault="00777863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Thời gian hoàn thành: </w:t>
      </w:r>
      <w:r w:rsidR="00274D0A">
        <w:rPr>
          <w:rFonts w:ascii="Tahoma" w:hAnsi="Tahoma" w:cs="Tahoma"/>
        </w:rPr>
        <w:t xml:space="preserve">Từ 3 đến </w:t>
      </w:r>
      <w:r>
        <w:rPr>
          <w:rFonts w:ascii="Tahoma" w:hAnsi="Tahoma" w:cs="Tahoma"/>
        </w:rPr>
        <w:t>5 ngày kể từ ngày duyệt mẫu.</w:t>
      </w:r>
    </w:p>
    <w:p w:rsidR="00777863" w:rsidRPr="00616C37" w:rsidRDefault="00AB3F1A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</w:t>
      </w:r>
      <w:r w:rsidR="00140542">
        <w:rPr>
          <w:rFonts w:ascii="Tahoma" w:hAnsi="Tahoma" w:cs="Tahoma"/>
        </w:rPr>
        <w:t xml:space="preserve">ỉ in khi đã có đủ hồ sơ pháp lý, </w:t>
      </w:r>
      <w:r>
        <w:rPr>
          <w:rFonts w:ascii="Tahoma" w:hAnsi="Tahoma" w:cs="Tahoma"/>
        </w:rPr>
        <w:t>khách hàng đã ký hợp đồng</w:t>
      </w:r>
      <w:r w:rsidR="00140542">
        <w:rPr>
          <w:rFonts w:ascii="Tahoma" w:hAnsi="Tahoma" w:cs="Tahoma"/>
        </w:rPr>
        <w:t>, ký duyệt mẫu</w:t>
      </w:r>
      <w:r w:rsidR="00777863">
        <w:rPr>
          <w:rFonts w:ascii="Tahoma" w:hAnsi="Tahoma" w:cs="Tahoma"/>
        </w:rPr>
        <w:t>.</w:t>
      </w:r>
    </w:p>
    <w:p w:rsidR="00777863" w:rsidRPr="00616C37" w:rsidRDefault="00777863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Chứng từ</w:t>
      </w:r>
      <w:r w:rsidR="00140542">
        <w:rPr>
          <w:rFonts w:ascii="Tahoma" w:hAnsi="Tahoma" w:cs="Tahoma"/>
        </w:rPr>
        <w:t xml:space="preserve"> giao</w:t>
      </w:r>
      <w:r>
        <w:rPr>
          <w:rFonts w:ascii="Tahoma" w:hAnsi="Tahoma" w:cs="Tahoma"/>
        </w:rPr>
        <w:t>: hợp đồng, thanh lý, hóa đơn GTGT, mẫu thông báo phát hành.</w:t>
      </w:r>
    </w:p>
    <w:p w:rsidR="00777863" w:rsidRDefault="00777863" w:rsidP="00777863">
      <w:pPr>
        <w:rPr>
          <w:rFonts w:ascii="Tahoma" w:hAnsi="Tahoma" w:cs="Tahoma"/>
        </w:rPr>
      </w:pPr>
    </w:p>
    <w:p w:rsidR="00C64BB8" w:rsidRDefault="00C64BB8" w:rsidP="0077786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Ngày </w:t>
      </w:r>
      <w:r w:rsidR="008F62C9">
        <w:rPr>
          <w:rFonts w:ascii="Tahoma" w:hAnsi="Tahoma" w:cs="Tahoma"/>
        </w:rPr>
        <w:t>01</w:t>
      </w:r>
      <w:r w:rsidR="00014B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tháng </w:t>
      </w:r>
      <w:r w:rsidR="008F62C9">
        <w:rPr>
          <w:rFonts w:ascii="Tahoma" w:hAnsi="Tahoma" w:cs="Tahoma"/>
        </w:rPr>
        <w:t>01</w:t>
      </w:r>
      <w:r>
        <w:rPr>
          <w:rFonts w:ascii="Tahoma" w:hAnsi="Tahoma" w:cs="Tahoma"/>
        </w:rPr>
        <w:t xml:space="preserve"> năm 201</w:t>
      </w:r>
      <w:r w:rsidR="008F62C9">
        <w:rPr>
          <w:rFonts w:ascii="Tahoma" w:hAnsi="Tahoma" w:cs="Tahoma"/>
        </w:rPr>
        <w:t>5</w:t>
      </w:r>
    </w:p>
    <w:p w:rsidR="00D82A72" w:rsidRDefault="00777863" w:rsidP="0077786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Người liên hệ: </w:t>
      </w:r>
    </w:p>
    <w:sectPr w:rsidR="00D82A72" w:rsidSect="005C4C37">
      <w:headerReference w:type="default" r:id="rId7"/>
      <w:footerReference w:type="default" r:id="rId8"/>
      <w:pgSz w:w="12240" w:h="15840"/>
      <w:pgMar w:top="540" w:right="1440" w:bottom="1440" w:left="1440" w:header="720" w:footer="6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5D" w:rsidRDefault="00245F5D">
      <w:r>
        <w:separator/>
      </w:r>
    </w:p>
  </w:endnote>
  <w:endnote w:type="continuationSeparator" w:id="0">
    <w:p w:rsidR="00245F5D" w:rsidRDefault="0024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5C3AE0" w:rsidP="00182E16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20"/>
        <w:szCs w:val="20"/>
      </w:rPr>
    </w:pPr>
    <w:r w:rsidRPr="005C3AE0">
      <w:rPr>
        <w:rFonts w:ascii="Tahoma" w:hAnsi="Tahoma" w:cs="Tahoma"/>
        <w:b/>
        <w:noProof/>
        <w:color w:val="808080"/>
        <w:sz w:val="20"/>
        <w:szCs w:val="20"/>
        <w:lang w:val="vi-VN" w:eastAsia="vi-VN"/>
      </w:rPr>
      <w:pict>
        <v:line id="Line 9" o:spid="_x0000_s2062" style="position:absolute;z-index:251657728;visibility:visible" from="0,-6.6pt" to="468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UbHg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gcz/KnSQpNo/1dQoo+0FjnP3PdomCUWALnCExOG+cDEVL0LuEdpddC&#10;ythsqVAH4M/ZOEC3BlL3jVA7EMBbhHBaChbcQ6Czh/1SWnQiIKBpGr6YJ9w8ull9VCzCN5yw1c32&#10;RMirDXSkCniQHBC8WVeF/Jils9V0Nc0H+WiyGuRpVQ0+rZf5YLLOnsfVU7VcVtnPQC3Li0YwxlVg&#10;16s1y/9ODbe5uersrtd7YZL36LGCQLb/R9Kxu6GhV2nsNbtsbd91EGh0vg1TmIDHPdiPI7/4BQAA&#10;//8DAFBLAwQUAAYACAAAACEAVhuEYN0AAAAIAQAADwAAAGRycy9kb3ducmV2LnhtbEyPQUvDQBCF&#10;74L/YRnBW7tpC0VjNsUWFDyUYPTgcZodsyHZ2ZDdpNFf7wqCPc57jzffy3az7cREg28cK1gtExDE&#10;ldMN1wre354WdyB8QNbYOSYFX+Rhl19fZZhqd+ZXmspQi1jCPkUFJoQ+ldJXhiz6peuJo/fpBosh&#10;nkMt9YDnWG47uU6SrbTYcPxgsKeDoaotR6ugaMvDx9gWx+99ReaIL4XbP09K3d7Mjw8gAs3hPwy/&#10;+BEd8sh0ciNrLzoFcUhQsFht1iCifb/ZRuX0p8g8k5cD8h8AAAD//wMAUEsBAi0AFAAGAAgAAAAh&#10;ALaDOJL+AAAA4QEAABMAAAAAAAAAAAAAAAAAAAAAAFtDb250ZW50X1R5cGVzXS54bWxQSwECLQAU&#10;AAYACAAAACEAOP0h/9YAAACUAQAACwAAAAAAAAAAAAAAAAAvAQAAX3JlbHMvLnJlbHNQSwECLQAU&#10;AAYACAAAACEAYdwFGx4CAAA6BAAADgAAAAAAAAAAAAAAAAAuAgAAZHJzL2Uyb0RvYy54bWxQSwEC&#10;LQAUAAYACAAAACEAVhuEYN0AAAAIAQAADwAAAAAAAAAAAAAAAAB4BAAAZHJzL2Rvd25yZXYueG1s&#10;UEsFBgAAAAAEAAQA8wAAAIIFAAAAAA==&#10;" strokecolor="gray" strokeweight="4.5pt">
          <v:stroke linestyle="thinThick"/>
        </v:line>
      </w:pict>
    </w:r>
    <w:r w:rsidR="00AB7D4F">
      <w:rPr>
        <w:rFonts w:ascii="Tahoma" w:hAnsi="Tahoma" w:cs="Tahoma"/>
        <w:b/>
        <w:noProof/>
        <w:color w:val="808080"/>
        <w:sz w:val="20"/>
        <w:szCs w:val="20"/>
      </w:rPr>
      <w:t>Công ty TNHH MTV Tiên Sư</w:t>
    </w:r>
  </w:p>
  <w:p w:rsidR="00616C37" w:rsidRPr="00182E16" w:rsidRDefault="00854A4B" w:rsidP="00182E16">
    <w:pPr>
      <w:pStyle w:val="Footer"/>
      <w:tabs>
        <w:tab w:val="left" w:pos="225"/>
      </w:tabs>
      <w:rPr>
        <w:rFonts w:ascii="Tahoma" w:hAnsi="Tahoma" w:cs="Tahoma"/>
        <w:color w:val="808080"/>
        <w:sz w:val="20"/>
        <w:szCs w:val="20"/>
      </w:rPr>
    </w:pPr>
    <w:r>
      <w:rPr>
        <w:rStyle w:val="PageNumber"/>
        <w:rFonts w:ascii="Tahoma" w:hAnsi="Tahoma" w:cs="Tahoma"/>
        <w:color w:val="808080"/>
        <w:sz w:val="20"/>
        <w:szCs w:val="20"/>
      </w:rPr>
      <w:t xml:space="preserve">ĐC: 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55A/19/13,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 xml:space="preserve"> KP.1, P.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Trảng Dài,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 xml:space="preserve">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TP.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Biên Hòa,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Đồng Nai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| ĐT: 061.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>2696499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ab/>
    </w:r>
    <w:r w:rsidR="005C3AE0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PAGE </w:instrText>
    </w:r>
    <w:r w:rsidR="005C3AE0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5C3AE0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>/</w:t>
    </w:r>
    <w:r w:rsidR="005C3AE0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NUMPAGES </w:instrText>
    </w:r>
    <w:r w:rsidR="005C3AE0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5C3AE0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5D" w:rsidRDefault="00245F5D">
      <w:r>
        <w:separator/>
      </w:r>
    </w:p>
  </w:footnote>
  <w:footnote w:type="continuationSeparator" w:id="0">
    <w:p w:rsidR="00245F5D" w:rsidRDefault="00245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5C3A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88.25pt;height:16.75pt;z-index:251658752" fillcolor="#7f7f7f [1612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5C3AE0">
      <w:rPr>
        <w:noProof/>
        <w:lang w:val="vi-VN" w:eastAsia="vi-VN"/>
      </w:rPr>
      <w:pict>
        <v:line id="Line 3" o:spid="_x0000_s2063" style="position:absolute;z-index:251656704;visibility:visible" from="53.85pt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0PHgIAADoEAAAOAAAAZHJzL2Uyb0RvYy54bWysU9uu2jAQfK/Uf7D8Dkm4ExGOKgJ9oS3S&#10;oR9gbIdYx7Et2xBQ1X/v2hDEaV+qqorkrOPdyczOevFyaSQ6c+uEVgXO+ilGXFHNhDoW+Pt+05th&#10;5DxRjEiteIGv3OGX5ccPi9bkfKBrLRm3CECUy1tT4Np7kyeJozVviOtrwxUcVto2xMPWHhNmSQvo&#10;jUwGaTpJWm2ZsZpy5+BreTvEy4hfVZz6b1XluEeywMDNx9XG9RDWZLkg+dESUwt6p0H+gUVDhIKf&#10;PqBK4gk6WfEHVCOo1U5Xvk91k+iqEpRHDaAmS39T81oTw6MWaI4zjza5/wdLv553FglW4CFGijRg&#10;0VYojoahM61xOSSs1M4GbfSiXs1W0zeHlF7VRB15ZLi/GijLQkXyriRsnAH8Q/tFM8ghJ69jmy6V&#10;bQIkNABdohvXhxv84hGFj+PBeD5NxxjR7iwheVdorPOfuW5QCAosgXMEJuet84EIybuU8B+lN0LK&#10;aLZUqAXwaTaGeaCNAekezH/b13cLnZaChfRQ6OzxsJIWnQkM0CwNT9QJJ89pVp8Ui/A1J2x9jz0R&#10;8hYDHakCHogDgvfoNiE/5ul8PVvPRr3RYLLujdKy7H3arEa9ySabjsthuVqV2c+gLhvltWCMq8Cu&#10;m9Zs9HfTcL83tzl7zOujMcl79NhBINu9I+nobjD0NhoHza4727kOAxqT75cp3IDnPcTPV375CwAA&#10;//8DAFBLAwQUAAYACAAAACEA1bYNsNwAAAAJAQAADwAAAGRycy9kb3ducmV2LnhtbEyPzU7DMBCE&#10;70i8g7WVuFGnFBoIcSqEKDcO/eHuxtskEK8t220CT88iDvS2szua/aZcjrYXJwyxc6RgNs1AINXO&#10;dNQo2G1X1/cgYtJkdO8IFXxhhGV1eVHqwriB1njapEZwCMVCK2hT8oWUsW7R6jh1HolvBxesTixD&#10;I03QA4fbXt5k2UJa3RF/aLXH5xbrz83RKpDd62FI3y/YvK1X7zF8+Hm+80pdTcanRxAJx/Rvhl98&#10;RoeKmfbuSCaKnnWW52xVcHfLndjwMF/wsP9byKqU5w2qHwAAAP//AwBQSwECLQAUAAYACAAAACEA&#10;toM4kv4AAADhAQAAEwAAAAAAAAAAAAAAAAAAAAAAW0NvbnRlbnRfVHlwZXNdLnhtbFBLAQItABQA&#10;BgAIAAAAIQA4/SH/1gAAAJQBAAALAAAAAAAAAAAAAAAAAC8BAABfcmVscy8ucmVsc1BLAQItABQA&#10;BgAIAAAAIQB1A60PHgIAADoEAAAOAAAAAAAAAAAAAAAAAC4CAABkcnMvZTJvRG9jLnhtbFBLAQIt&#10;ABQABgAIAAAAIQDVtg2w3AAAAAkBAAAPAAAAAAAAAAAAAAAAAHgEAABkcnMvZG93bnJldi54bWxQ&#10;SwUGAAAAAAQABADzAAAAgQUAAAAA&#10;" strokecolor="gray" strokeweight="4.5pt">
          <v:stroke linestyle="thickThin"/>
        </v:line>
      </w:pict>
    </w:r>
    <w:r w:rsidR="00C64BB8">
      <w:rPr>
        <w:noProof/>
      </w:rPr>
      <w:drawing>
        <wp:inline distT="0" distB="0" distL="0" distR="0">
          <wp:extent cx="685800" cy="685800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035"/>
    <w:multiLevelType w:val="hybridMultilevel"/>
    <w:tmpl w:val="1A2E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66D77"/>
    <w:multiLevelType w:val="hybridMultilevel"/>
    <w:tmpl w:val="087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8194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7B53"/>
    <w:rsid w:val="00014B75"/>
    <w:rsid w:val="00042B0C"/>
    <w:rsid w:val="00045E87"/>
    <w:rsid w:val="000B07A6"/>
    <w:rsid w:val="00140542"/>
    <w:rsid w:val="001446BB"/>
    <w:rsid w:val="001744FA"/>
    <w:rsid w:val="00182E16"/>
    <w:rsid w:val="001944CC"/>
    <w:rsid w:val="001C132A"/>
    <w:rsid w:val="00203A23"/>
    <w:rsid w:val="00235A9C"/>
    <w:rsid w:val="00245F5D"/>
    <w:rsid w:val="00247B03"/>
    <w:rsid w:val="00265EA0"/>
    <w:rsid w:val="00274D0A"/>
    <w:rsid w:val="002C3DD6"/>
    <w:rsid w:val="002E3167"/>
    <w:rsid w:val="002E387F"/>
    <w:rsid w:val="00380677"/>
    <w:rsid w:val="003931A3"/>
    <w:rsid w:val="003B40D0"/>
    <w:rsid w:val="004122D3"/>
    <w:rsid w:val="004D1A09"/>
    <w:rsid w:val="00541DDA"/>
    <w:rsid w:val="005634FD"/>
    <w:rsid w:val="005C3AE0"/>
    <w:rsid w:val="005C4C37"/>
    <w:rsid w:val="00616C37"/>
    <w:rsid w:val="0062249B"/>
    <w:rsid w:val="00632FFB"/>
    <w:rsid w:val="00673FFB"/>
    <w:rsid w:val="006B4CBF"/>
    <w:rsid w:val="006C372C"/>
    <w:rsid w:val="006C38B8"/>
    <w:rsid w:val="006F7B66"/>
    <w:rsid w:val="00777863"/>
    <w:rsid w:val="00787036"/>
    <w:rsid w:val="00801D14"/>
    <w:rsid w:val="00801EC7"/>
    <w:rsid w:val="008036E9"/>
    <w:rsid w:val="008147E7"/>
    <w:rsid w:val="00854A4B"/>
    <w:rsid w:val="00867F6C"/>
    <w:rsid w:val="00894630"/>
    <w:rsid w:val="008F62C9"/>
    <w:rsid w:val="00913266"/>
    <w:rsid w:val="009700AA"/>
    <w:rsid w:val="009A55F1"/>
    <w:rsid w:val="00A07CA6"/>
    <w:rsid w:val="00A25F1B"/>
    <w:rsid w:val="00A3128B"/>
    <w:rsid w:val="00A50530"/>
    <w:rsid w:val="00AB3F1A"/>
    <w:rsid w:val="00AB7D4F"/>
    <w:rsid w:val="00AF4FFB"/>
    <w:rsid w:val="00B019A7"/>
    <w:rsid w:val="00B10723"/>
    <w:rsid w:val="00B673C7"/>
    <w:rsid w:val="00B75F07"/>
    <w:rsid w:val="00BE7F93"/>
    <w:rsid w:val="00C038A6"/>
    <w:rsid w:val="00C05B55"/>
    <w:rsid w:val="00C64BB8"/>
    <w:rsid w:val="00C93A05"/>
    <w:rsid w:val="00CD02F5"/>
    <w:rsid w:val="00D12575"/>
    <w:rsid w:val="00D33C7F"/>
    <w:rsid w:val="00D34CE2"/>
    <w:rsid w:val="00D55C4F"/>
    <w:rsid w:val="00D72040"/>
    <w:rsid w:val="00D82A72"/>
    <w:rsid w:val="00DE1C6E"/>
    <w:rsid w:val="00E22FD0"/>
    <w:rsid w:val="00E26CAC"/>
    <w:rsid w:val="00E72C78"/>
    <w:rsid w:val="00EA20E5"/>
    <w:rsid w:val="00EE2FB5"/>
    <w:rsid w:val="00EE6DF4"/>
    <w:rsid w:val="00EF4410"/>
    <w:rsid w:val="00F31578"/>
    <w:rsid w:val="00F569BA"/>
    <w:rsid w:val="00F8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lastModifiedBy>Asadona Tien</cp:lastModifiedBy>
  <cp:revision>11</cp:revision>
  <cp:lastPrinted>2014-10-20T08:18:00Z</cp:lastPrinted>
  <dcterms:created xsi:type="dcterms:W3CDTF">2015-01-05T08:52:00Z</dcterms:created>
  <dcterms:modified xsi:type="dcterms:W3CDTF">2015-01-06T09:47:00Z</dcterms:modified>
  <cp:category>Asadona.com</cp:category>
</cp:coreProperties>
</file>