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2</w:t>
      </w:r>
      <w:r w:rsidR="00836E76">
        <w:rPr>
          <w:rFonts w:ascii="Tahoma" w:hAnsi="Tahoma" w:cs="Tahoma"/>
          <w:color w:val="0000FF"/>
          <w:sz w:val="22"/>
          <w:szCs w:val="22"/>
        </w:rPr>
        <w:t>2</w:t>
      </w:r>
      <w:r w:rsidR="008A149D">
        <w:rPr>
          <w:rFonts w:ascii="Tahoma" w:hAnsi="Tahoma" w:cs="Tahoma"/>
          <w:color w:val="0000FF"/>
          <w:sz w:val="22"/>
          <w:szCs w:val="22"/>
        </w:rPr>
        <w:t>A</w:t>
      </w:r>
      <w:r w:rsidR="00836E76">
        <w:rPr>
          <w:rFonts w:ascii="Tahoma" w:hAnsi="Tahoma" w:cs="Tahoma"/>
          <w:color w:val="0000FF"/>
          <w:sz w:val="22"/>
          <w:szCs w:val="22"/>
        </w:rPr>
        <w:t>/DKKD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Pr="000067D7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>Asadona</w:t>
      </w:r>
      <w:r w:rsidR="001351D0">
        <w:rPr>
          <w:rFonts w:ascii="Tahoma" w:hAnsi="Tahoma" w:cs="Tahoma"/>
          <w:sz w:val="22"/>
          <w:szCs w:val="22"/>
        </w:rPr>
        <w:t xml:space="preserve"> tư vấn và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</w:t>
      </w:r>
      <w:r w:rsidR="00505000">
        <w:rPr>
          <w:rFonts w:ascii="Tahoma" w:hAnsi="Tahoma" w:cs="Tahoma"/>
          <w:sz w:val="22"/>
          <w:szCs w:val="22"/>
        </w:rPr>
        <w:t>tối ưu hiệu quả công việc kinh doanh.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814"/>
        <w:gridCol w:w="1139"/>
        <w:gridCol w:w="1119"/>
        <w:gridCol w:w="1249"/>
      </w:tblGrid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Công việc: Đăng ký kinh doanh (Gói 1A)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Soạn hồ sơ DKKD, lập văn bản ủy quyền tại UBND phường.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100.000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1.200.000</w:t>
            </w: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Nộp, nhận kết quả hồ sơ đăng ký kinh doanh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thuế lần đầu</w:t>
            </w:r>
          </w:p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(Hồ sơ đăng ký mã số thuế, đăng ký các khoản thuế, chế độ kế toán, năm tài chính, nộp một cửa cùng hồ sơ ĐKKD)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Làm con dấu pháp nhân và Thông báo chứng nhận sử dụng mẫu dấu.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ngày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ấn đóng cuốn hồ sơ đăng ký kinh doanh. Lập các văn bản điều lệ, quyết định bổ nhiệm, xác nhận vốn góp, hợp đồng lao động…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ED6" w:rsidRDefault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6" w:rsidRDefault="00D54E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4ED6" w:rsidTr="00D54ED6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 ngày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2.200.000 đồng</w:t>
            </w:r>
          </w:p>
        </w:tc>
      </w:tr>
    </w:tbl>
    <w:p w:rsidR="001F6133" w:rsidRDefault="00836E76" w:rsidP="001F61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Khách hàng cung cấp</w:t>
      </w:r>
      <w:r w:rsidR="001F6133" w:rsidRPr="000067D7">
        <w:rPr>
          <w:rFonts w:ascii="Tahoma" w:hAnsi="Tahoma" w:cs="Tahoma"/>
          <w:b/>
          <w:sz w:val="22"/>
          <w:szCs w:val="22"/>
        </w:rPr>
        <w:t>:</w:t>
      </w:r>
    </w:p>
    <w:p w:rsidR="00836E76" w:rsidRPr="00836E76" w:rsidRDefault="00836E76" w:rsidP="001F6133">
      <w:pPr>
        <w:rPr>
          <w:rFonts w:ascii="Tahoma" w:hAnsi="Tahoma" w:cs="Tahoma"/>
          <w:sz w:val="22"/>
          <w:szCs w:val="22"/>
        </w:rPr>
      </w:pPr>
      <w:r w:rsidRPr="00836E76">
        <w:rPr>
          <w:rFonts w:ascii="Tahoma" w:hAnsi="Tahoma" w:cs="Tahoma"/>
          <w:sz w:val="22"/>
          <w:szCs w:val="22"/>
        </w:rPr>
        <w:t>Chứng minh nhân dân</w:t>
      </w:r>
      <w:r>
        <w:rPr>
          <w:rFonts w:ascii="Tahoma" w:hAnsi="Tahoma" w:cs="Tahoma"/>
          <w:sz w:val="22"/>
          <w:szCs w:val="22"/>
        </w:rPr>
        <w:t xml:space="preserve"> các thành viên: 5 bản sao công chứng.</w:t>
      </w:r>
    </w:p>
    <w:p w:rsidR="00AA2B37" w:rsidRDefault="00AA2B37"/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754"/>
        <w:gridCol w:w="1133"/>
        <w:gridCol w:w="1190"/>
        <w:gridCol w:w="1245"/>
      </w:tblGrid>
      <w:tr w:rsidR="003265FB" w:rsidRPr="000067D7" w:rsidTr="00AA2B37">
        <w:trPr>
          <w:jc w:val="center"/>
        </w:trPr>
        <w:tc>
          <w:tcPr>
            <w:tcW w:w="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 Khai thuế lần đầu</w:t>
            </w:r>
            <w:r w:rsidR="00FC0B7E">
              <w:rPr>
                <w:rFonts w:ascii="Tahoma" w:hAnsi="Tahoma" w:cs="Tahoma"/>
                <w:b/>
                <w:sz w:val="22"/>
                <w:szCs w:val="22"/>
              </w:rPr>
              <w:t xml:space="preserve"> (Gói 2A)</w:t>
            </w:r>
          </w:p>
        </w:tc>
        <w:tc>
          <w:tcPr>
            <w:tcW w:w="113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5FB" w:rsidRPr="000067D7" w:rsidRDefault="003265FB" w:rsidP="007154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phương pháp khấu trừ thuế (Mẫu 06)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67D7" w:rsidRPr="000067D7" w:rsidRDefault="003265FB" w:rsidP="001568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156829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sử dụng hóa đơn tự in (Mẫu 3.14)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trHeight w:val="50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ED6" w:rsidRDefault="00D54ED6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tờ khai thuế môn bài tại chi cục thuế</w:t>
            </w:r>
            <w:r w:rsidR="00FE21C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thuế môn bài tại kho bạc nhà nước</w:t>
            </w:r>
            <w:r w:rsidR="00FE21C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36E76" w:rsidRPr="000067D7" w:rsidRDefault="00836E76" w:rsidP="00D335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(Trường hợp thuế môn bài bậc 4)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156829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87F56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2C4EF4" w:rsidP="00D335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công bố thành lập doanh ng</w:t>
            </w:r>
            <w:r w:rsidR="00D54ED6">
              <w:rPr>
                <w:rFonts w:ascii="Tahoma" w:hAnsi="Tahoma" w:cs="Tahoma"/>
                <w:sz w:val="22"/>
                <w:szCs w:val="22"/>
              </w:rPr>
              <w:t>hiệp trên cổng thông tin Bộ Kế hoạch đầu tư</w:t>
            </w:r>
            <w:r w:rsidR="00FE21C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D54ED6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F5437E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Thiết kế và đặt in hóa đơn (</w:t>
            </w:r>
            <w:r w:rsidR="00F5437E">
              <w:rPr>
                <w:rFonts w:ascii="Tahoma" w:hAnsi="Tahoma" w:cs="Tahoma"/>
                <w:sz w:val="22"/>
                <w:szCs w:val="22"/>
              </w:rPr>
              <w:t>5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cuốn, 1 màu)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D54ED6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</w:t>
            </w:r>
            <w:r w:rsidR="00F5437E">
              <w:rPr>
                <w:rFonts w:ascii="Tahoma" w:hAnsi="Tahoma" w:cs="Tahoma"/>
                <w:sz w:val="22"/>
                <w:szCs w:val="22"/>
              </w:rPr>
              <w:t>0</w:t>
            </w:r>
            <w:r w:rsidR="003265FB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Soạn, nộp </w:t>
            </w:r>
            <w:r w:rsidR="00D54ED6">
              <w:rPr>
                <w:rFonts w:ascii="Tahoma" w:hAnsi="Tahoma" w:cs="Tahoma"/>
                <w:sz w:val="22"/>
                <w:szCs w:val="22"/>
              </w:rPr>
              <w:t xml:space="preserve">hồ sơ </w:t>
            </w:r>
            <w:r w:rsidRPr="000067D7">
              <w:rPr>
                <w:rFonts w:ascii="Tahoma" w:hAnsi="Tahoma" w:cs="Tahoma"/>
                <w:sz w:val="22"/>
                <w:szCs w:val="22"/>
              </w:rPr>
              <w:t>Thông báo phát hành hóa đơn</w:t>
            </w:r>
            <w:r w:rsidR="00D54ED6">
              <w:rPr>
                <w:rFonts w:ascii="Tahoma" w:hAnsi="Tahoma" w:cs="Tahoma"/>
                <w:sz w:val="22"/>
                <w:szCs w:val="22"/>
              </w:rPr>
              <w:t xml:space="preserve"> tại chi cục thuế</w:t>
            </w:r>
            <w:r w:rsidR="00FE21CE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khai thuế qua mạng và mua chữ ký số 4 năm</w:t>
            </w:r>
            <w:r w:rsidR="001351D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3265FB" w:rsidP="00D54E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D54ED6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0067D7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836E76" w:rsidP="00D335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tài khoản ngân hàng</w:t>
            </w:r>
            <w:r w:rsidR="00D54ED6">
              <w:rPr>
                <w:rFonts w:ascii="Tahoma" w:hAnsi="Tahoma" w:cs="Tahoma"/>
                <w:sz w:val="22"/>
                <w:szCs w:val="22"/>
              </w:rPr>
              <w:t xml:space="preserve"> với cơ quan thuế</w:t>
            </w:r>
            <w:r>
              <w:rPr>
                <w:rFonts w:ascii="Tahoma" w:hAnsi="Tahoma" w:cs="Tahoma"/>
                <w:sz w:val="22"/>
                <w:szCs w:val="22"/>
              </w:rPr>
              <w:t>, đăng ký nộp thuế điện tử, báo cáo thuế không phát sinh 6 tháng đầu.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0067D7" w:rsidRDefault="000067D7" w:rsidP="00D33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67D7" w:rsidRPr="000067D7" w:rsidRDefault="000067D7" w:rsidP="00A732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67D7" w:rsidRPr="006522A0" w:rsidTr="003265FB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0067D7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3265FB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67D7" w:rsidRPr="006522A0" w:rsidRDefault="00387F56" w:rsidP="003265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15682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0067D7"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9D13B5" w:rsidRPr="000067D7" w:rsidRDefault="001351D0" w:rsidP="009D13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Ghi chú</w:t>
      </w:r>
      <w:r w:rsidR="009D13B5" w:rsidRPr="000067D7">
        <w:rPr>
          <w:rFonts w:ascii="Tahoma" w:hAnsi="Tahoma" w:cs="Tahoma"/>
          <w:b/>
          <w:sz w:val="22"/>
          <w:szCs w:val="22"/>
        </w:rPr>
        <w:t>:</w:t>
      </w:r>
    </w:p>
    <w:p w:rsidR="00156829" w:rsidRDefault="00156829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Giá trên </w:t>
      </w:r>
      <w:r w:rsidR="001351D0">
        <w:rPr>
          <w:rFonts w:ascii="Tahoma" w:hAnsi="Tahoma" w:cs="Tahoma"/>
        </w:rPr>
        <w:t>chưa</w:t>
      </w:r>
      <w:r>
        <w:rPr>
          <w:rFonts w:ascii="Tahoma" w:hAnsi="Tahoma" w:cs="Tahoma"/>
        </w:rPr>
        <w:t xml:space="preserve"> bao gồm thuế </w:t>
      </w:r>
      <w:r w:rsidR="001351D0">
        <w:rPr>
          <w:rFonts w:ascii="Tahoma" w:hAnsi="Tahoma" w:cs="Tahoma"/>
        </w:rPr>
        <w:t>GTGT (Nếu khách hàng yêu cầu hóa đơn GTGT)</w:t>
      </w:r>
      <w:r>
        <w:rPr>
          <w:rFonts w:ascii="Tahoma" w:hAnsi="Tahoma" w:cs="Tahoma"/>
        </w:rPr>
        <w:t>.</w:t>
      </w:r>
    </w:p>
    <w:p w:rsidR="00156829" w:rsidRPr="000067D7" w:rsidRDefault="001351D0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Giảm 200.000 khi khách hàng thanh toán một lần cả 2 gói dịch vụ</w:t>
      </w:r>
      <w:r w:rsidR="004D47CC">
        <w:rPr>
          <w:rFonts w:ascii="Tahoma" w:hAnsi="Tahoma" w:cs="Tahoma"/>
        </w:rPr>
        <w:t>.</w:t>
      </w:r>
    </w:p>
    <w:p w:rsidR="000C541E" w:rsidRDefault="000C541E" w:rsidP="009D13B5">
      <w:pPr>
        <w:rPr>
          <w:rFonts w:ascii="Tahoma" w:hAnsi="Tahoma" w:cs="Tahoma"/>
          <w:sz w:val="22"/>
          <w:szCs w:val="22"/>
        </w:rPr>
      </w:pPr>
    </w:p>
    <w:p w:rsidR="00D63C03" w:rsidRPr="000067D7" w:rsidRDefault="00D63C03" w:rsidP="009D13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Ngày 08/08/2015</w:t>
      </w:r>
    </w:p>
    <w:sectPr w:rsidR="00D63C03" w:rsidRPr="000067D7" w:rsidSect="009F251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BF" w:rsidRDefault="00E703BF">
      <w:r>
        <w:separator/>
      </w:r>
    </w:p>
  </w:endnote>
  <w:endnote w:type="continuationSeparator" w:id="0">
    <w:p w:rsidR="00E703BF" w:rsidRDefault="00E7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D63C03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353243" w:rsidRPr="00353243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D63C03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353243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BF" w:rsidRDefault="00E703BF">
      <w:r>
        <w:separator/>
      </w:r>
    </w:p>
  </w:footnote>
  <w:footnote w:type="continuationSeparator" w:id="0">
    <w:p w:rsidR="00E703BF" w:rsidRDefault="00E7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353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353243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5058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47DE0"/>
    <w:rsid w:val="000B07A6"/>
    <w:rsid w:val="000C35D6"/>
    <w:rsid w:val="000C541E"/>
    <w:rsid w:val="00123E02"/>
    <w:rsid w:val="001351D0"/>
    <w:rsid w:val="001515DA"/>
    <w:rsid w:val="00156829"/>
    <w:rsid w:val="0017715A"/>
    <w:rsid w:val="00182E16"/>
    <w:rsid w:val="001E0809"/>
    <w:rsid w:val="001E16B7"/>
    <w:rsid w:val="001E7214"/>
    <w:rsid w:val="001F1781"/>
    <w:rsid w:val="001F6133"/>
    <w:rsid w:val="00211733"/>
    <w:rsid w:val="002203C4"/>
    <w:rsid w:val="002211B5"/>
    <w:rsid w:val="00251193"/>
    <w:rsid w:val="002547F5"/>
    <w:rsid w:val="00292518"/>
    <w:rsid w:val="002B08C2"/>
    <w:rsid w:val="002C4EF4"/>
    <w:rsid w:val="0031124C"/>
    <w:rsid w:val="00313D97"/>
    <w:rsid w:val="00317C19"/>
    <w:rsid w:val="003265FB"/>
    <w:rsid w:val="00353243"/>
    <w:rsid w:val="00370BA6"/>
    <w:rsid w:val="00387F56"/>
    <w:rsid w:val="003931A3"/>
    <w:rsid w:val="003D4048"/>
    <w:rsid w:val="003E3E6D"/>
    <w:rsid w:val="00404B16"/>
    <w:rsid w:val="00440BB9"/>
    <w:rsid w:val="00484E7C"/>
    <w:rsid w:val="004958D9"/>
    <w:rsid w:val="004D3214"/>
    <w:rsid w:val="004D47CC"/>
    <w:rsid w:val="004D5F15"/>
    <w:rsid w:val="00505000"/>
    <w:rsid w:val="00521904"/>
    <w:rsid w:val="005248B6"/>
    <w:rsid w:val="005461BB"/>
    <w:rsid w:val="00546D5E"/>
    <w:rsid w:val="005735A0"/>
    <w:rsid w:val="00580E3F"/>
    <w:rsid w:val="005F5A2F"/>
    <w:rsid w:val="006416CB"/>
    <w:rsid w:val="00650F8F"/>
    <w:rsid w:val="006522A0"/>
    <w:rsid w:val="00673FFB"/>
    <w:rsid w:val="0068634B"/>
    <w:rsid w:val="00697388"/>
    <w:rsid w:val="006C2403"/>
    <w:rsid w:val="006C372C"/>
    <w:rsid w:val="006F644D"/>
    <w:rsid w:val="0072364D"/>
    <w:rsid w:val="0074632B"/>
    <w:rsid w:val="00754B3C"/>
    <w:rsid w:val="007610EF"/>
    <w:rsid w:val="007756FD"/>
    <w:rsid w:val="007819DB"/>
    <w:rsid w:val="00781EDD"/>
    <w:rsid w:val="007C2EBB"/>
    <w:rsid w:val="00814C58"/>
    <w:rsid w:val="00836E76"/>
    <w:rsid w:val="008427B7"/>
    <w:rsid w:val="00856462"/>
    <w:rsid w:val="00874DE8"/>
    <w:rsid w:val="00894630"/>
    <w:rsid w:val="008A149D"/>
    <w:rsid w:val="008D6AE9"/>
    <w:rsid w:val="008E709D"/>
    <w:rsid w:val="00904A06"/>
    <w:rsid w:val="009132E4"/>
    <w:rsid w:val="009264C9"/>
    <w:rsid w:val="00992589"/>
    <w:rsid w:val="00997759"/>
    <w:rsid w:val="00997BF1"/>
    <w:rsid w:val="009A55F1"/>
    <w:rsid w:val="009C2934"/>
    <w:rsid w:val="009C2A9B"/>
    <w:rsid w:val="009D13B5"/>
    <w:rsid w:val="009F2515"/>
    <w:rsid w:val="00A238C2"/>
    <w:rsid w:val="00A3128B"/>
    <w:rsid w:val="00A43E7D"/>
    <w:rsid w:val="00A50410"/>
    <w:rsid w:val="00AA0FB6"/>
    <w:rsid w:val="00AA2B37"/>
    <w:rsid w:val="00B10723"/>
    <w:rsid w:val="00B6007A"/>
    <w:rsid w:val="00BA2657"/>
    <w:rsid w:val="00BB1DC2"/>
    <w:rsid w:val="00C05B55"/>
    <w:rsid w:val="00C5211B"/>
    <w:rsid w:val="00C54222"/>
    <w:rsid w:val="00C860DA"/>
    <w:rsid w:val="00C9395D"/>
    <w:rsid w:val="00CE3677"/>
    <w:rsid w:val="00CE4405"/>
    <w:rsid w:val="00CF138B"/>
    <w:rsid w:val="00CF25A1"/>
    <w:rsid w:val="00CF34DC"/>
    <w:rsid w:val="00D35242"/>
    <w:rsid w:val="00D54ED6"/>
    <w:rsid w:val="00D63C03"/>
    <w:rsid w:val="00D867CC"/>
    <w:rsid w:val="00D87A4A"/>
    <w:rsid w:val="00D95926"/>
    <w:rsid w:val="00DB5567"/>
    <w:rsid w:val="00DE5ECF"/>
    <w:rsid w:val="00DE6BF0"/>
    <w:rsid w:val="00DF4A36"/>
    <w:rsid w:val="00E33DC5"/>
    <w:rsid w:val="00E63140"/>
    <w:rsid w:val="00E703BF"/>
    <w:rsid w:val="00E759A8"/>
    <w:rsid w:val="00E954F5"/>
    <w:rsid w:val="00EA559B"/>
    <w:rsid w:val="00F04934"/>
    <w:rsid w:val="00F324F9"/>
    <w:rsid w:val="00F5437E"/>
    <w:rsid w:val="00F851F3"/>
    <w:rsid w:val="00F92832"/>
    <w:rsid w:val="00FB64BB"/>
    <w:rsid w:val="00FC0B7E"/>
    <w:rsid w:val="00FE21CE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F670-D840-4542-ADCA-9C2373E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dc:description>Liên hệ: Bùi Thanh Tiền 0903703730</dc:description>
  <cp:lastModifiedBy>Asadona Admin</cp:lastModifiedBy>
  <cp:revision>13</cp:revision>
  <cp:lastPrinted>2015-07-02T04:05:00Z</cp:lastPrinted>
  <dcterms:created xsi:type="dcterms:W3CDTF">2015-07-18T13:59:00Z</dcterms:created>
  <dcterms:modified xsi:type="dcterms:W3CDTF">2015-07-24T19:43:00Z</dcterms:modified>
  <cp:category>Asadona.com</cp:category>
</cp:coreProperties>
</file>